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5A19C5">
            <w:r w:rsidRPr="00DE599A">
              <w:rPr>
                <w:sz w:val="28"/>
                <w:szCs w:val="28"/>
              </w:rPr>
              <w:t xml:space="preserve">   </w:t>
            </w:r>
            <w:r w:rsidR="005A19C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5A19C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5A19C5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</w:t>
      </w:r>
      <w:proofErr w:type="gramStart"/>
      <w:r w:rsidRPr="00753CF9">
        <w:rPr>
          <w:spacing w:val="-5"/>
          <w:sz w:val="28"/>
          <w:szCs w:val="28"/>
        </w:rPr>
        <w:t xml:space="preserve"> В</w:t>
      </w:r>
      <w:proofErr w:type="gramEnd"/>
      <w:r w:rsidRPr="00753CF9">
        <w:rPr>
          <w:spacing w:val="-5"/>
          <w:sz w:val="28"/>
          <w:szCs w:val="28"/>
        </w:rPr>
        <w:t xml:space="preserve">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</w:t>
      </w:r>
      <w:proofErr w:type="gramStart"/>
      <w:r w:rsidRPr="008B3145">
        <w:rPr>
          <w:spacing w:val="-5"/>
          <w:sz w:val="28"/>
          <w:szCs w:val="28"/>
        </w:rPr>
        <w:t xml:space="preserve"> В</w:t>
      </w:r>
      <w:proofErr w:type="gramEnd"/>
      <w:r w:rsidRPr="008B3145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>П</w:t>
      </w:r>
      <w:proofErr w:type="gramEnd"/>
      <w:r w:rsidR="00AF156D"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F156D" w:rsidRPr="00DE599A">
        <w:rPr>
          <w:sz w:val="28"/>
          <w:szCs w:val="28"/>
        </w:rPr>
        <w:t xml:space="preserve"> С</w:t>
      </w:r>
      <w:proofErr w:type="gramEnd"/>
      <w:r w:rsidR="00AF156D" w:rsidRPr="00DE599A">
        <w:rPr>
          <w:sz w:val="28"/>
          <w:szCs w:val="28"/>
        </w:rPr>
        <w:t>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F156D" w:rsidRPr="00DE599A">
        <w:rPr>
          <w:sz w:val="28"/>
          <w:szCs w:val="28"/>
        </w:rPr>
        <w:t xml:space="preserve"> П</w:t>
      </w:r>
      <w:proofErr w:type="gramEnd"/>
      <w:r w:rsidR="00AF156D" w:rsidRPr="00DE599A">
        <w:rPr>
          <w:sz w:val="28"/>
          <w:szCs w:val="28"/>
        </w:rPr>
        <w:t>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AF156D" w:rsidRPr="00753CF9">
        <w:rPr>
          <w:spacing w:val="-4"/>
          <w:sz w:val="28"/>
          <w:szCs w:val="28"/>
        </w:rPr>
        <w:t xml:space="preserve"> К</w:t>
      </w:r>
      <w:proofErr w:type="gramEnd"/>
      <w:r w:rsidR="00AF156D" w:rsidRPr="00753CF9">
        <w:rPr>
          <w:spacing w:val="-4"/>
          <w:sz w:val="28"/>
          <w:szCs w:val="28"/>
        </w:rPr>
        <w:t>онтролировать методическое обеспечение курируемых дисциплин.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AF156D" w:rsidRPr="00DE599A">
        <w:rPr>
          <w:sz w:val="28"/>
          <w:szCs w:val="28"/>
        </w:rPr>
        <w:t xml:space="preserve"> В</w:t>
      </w:r>
      <w:proofErr w:type="gramEnd"/>
      <w:r w:rsidR="00AF156D"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proofErr w:type="gramStart"/>
      <w:r w:rsidR="00AF156D" w:rsidRPr="00DE599A">
        <w:rPr>
          <w:spacing w:val="-2"/>
          <w:sz w:val="28"/>
          <w:szCs w:val="28"/>
        </w:rPr>
        <w:t xml:space="preserve"> П</w:t>
      </w:r>
      <w:proofErr w:type="gramEnd"/>
      <w:r w:rsidR="00AF156D"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AF156D" w:rsidRPr="00DE599A">
        <w:rPr>
          <w:sz w:val="28"/>
          <w:szCs w:val="28"/>
        </w:rPr>
        <w:t xml:space="preserve"> Ч</w:t>
      </w:r>
      <w:proofErr w:type="gramEnd"/>
      <w:r w:rsidR="00AF156D" w:rsidRPr="00DE599A">
        <w:rPr>
          <w:sz w:val="28"/>
          <w:szCs w:val="28"/>
        </w:rPr>
        <w:t>итать авторские курсы по направлению научных исследований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AF156D" w:rsidRPr="00DE599A">
        <w:rPr>
          <w:sz w:val="28"/>
          <w:szCs w:val="28"/>
          <w:lang w:eastAsia="en-US"/>
        </w:rPr>
        <w:t xml:space="preserve"> Н</w:t>
      </w:r>
      <w:proofErr w:type="gramEnd"/>
      <w:r w:rsidR="00AF156D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Федерации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753CF9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2400"/>
      </w:tblGrid>
      <w:tr w:rsidR="00AF156D" w:rsidRPr="00FC070D" w:rsidTr="004B42DA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</w:t>
            </w:r>
            <w:r w:rsidRPr="00FC070D">
              <w:t>н</w:t>
            </w:r>
            <w:r w:rsidRPr="00FC070D">
              <w:t>тября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</w:t>
            </w:r>
            <w:r w:rsidRPr="00FC070D">
              <w:rPr>
                <w:spacing w:val="-4"/>
              </w:rPr>
              <w:t>с</w:t>
            </w:r>
            <w:r w:rsidRPr="00FC070D">
              <w:rPr>
                <w:spacing w:val="-4"/>
              </w:rPr>
              <w:t>писанием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240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</w:t>
            </w:r>
            <w:r w:rsidRPr="00FC070D">
              <w:t>а</w:t>
            </w:r>
            <w:r w:rsidRPr="00FC070D">
              <w:t>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</w:t>
            </w:r>
            <w:r w:rsidRPr="00FC070D">
              <w:rPr>
                <w:spacing w:val="-6"/>
              </w:rPr>
              <w:t>ж</w:t>
            </w:r>
            <w:r w:rsidRPr="00FC070D">
              <w:rPr>
                <w:spacing w:val="-6"/>
              </w:rPr>
              <w:t>дого месяца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B42DA" w:rsidRPr="00DE599A" w:rsidTr="00BF0481">
        <w:tc>
          <w:tcPr>
            <w:tcW w:w="6487" w:type="dxa"/>
            <w:shd w:val="clear" w:color="auto" w:fill="auto"/>
          </w:tcPr>
          <w:p w:rsidR="004B42DA" w:rsidRPr="00DE599A" w:rsidRDefault="004B42D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4B42DA" w:rsidRPr="00DE599A" w:rsidRDefault="004B42D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E57F8C" w:rsidRPr="00DE599A" w:rsidTr="00BF0481">
        <w:tc>
          <w:tcPr>
            <w:tcW w:w="6487" w:type="dxa"/>
            <w:shd w:val="clear" w:color="auto" w:fill="auto"/>
          </w:tcPr>
          <w:p w:rsidR="00E57F8C" w:rsidRPr="00DE599A" w:rsidRDefault="00E57F8C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E57F8C" w:rsidRPr="00DE599A" w:rsidRDefault="00E57F8C" w:rsidP="004B42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r w:rsidR="004B42DA">
              <w:rPr>
                <w:spacing w:val="-6"/>
                <w:sz w:val="28"/>
                <w:szCs w:val="28"/>
              </w:rPr>
              <w:t>Ерукова</w:t>
            </w:r>
            <w:bookmarkStart w:id="0" w:name="_GoBack"/>
            <w:bookmarkEnd w:id="0"/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E57F8C" w:rsidRDefault="00E57F8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156D" w:rsidRDefault="00E57F8C" w:rsidP="00E57F8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профессора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E57F8C" w:rsidRPr="00DE599A" w:rsidRDefault="00E57F8C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4B42DA">
      <w:headerReference w:type="even" r:id="rId8"/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E" w:rsidRDefault="00B9631E" w:rsidP="00A050DF">
      <w:r>
        <w:separator/>
      </w:r>
    </w:p>
  </w:endnote>
  <w:endnote w:type="continuationSeparator" w:id="0">
    <w:p w:rsidR="00B9631E" w:rsidRDefault="00B9631E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E" w:rsidRDefault="00B9631E" w:rsidP="00A050DF">
      <w:r>
        <w:separator/>
      </w:r>
    </w:p>
  </w:footnote>
  <w:footnote w:type="continuationSeparator" w:id="0">
    <w:p w:rsidR="00B9631E" w:rsidRDefault="00B9631E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4B4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DA">
          <w:rPr>
            <w:noProof/>
          </w:rPr>
          <w:t>9</w:t>
        </w:r>
        <w:r>
          <w:fldChar w:fldCharType="end"/>
        </w:r>
      </w:p>
    </w:sdtContent>
  </w:sdt>
  <w:p w:rsidR="008E3CC6" w:rsidRDefault="004B42DA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4B42DA"/>
    <w:rsid w:val="005A19C5"/>
    <w:rsid w:val="005E5621"/>
    <w:rsid w:val="00673836"/>
    <w:rsid w:val="007021E5"/>
    <w:rsid w:val="00753CF9"/>
    <w:rsid w:val="00761379"/>
    <w:rsid w:val="0087108E"/>
    <w:rsid w:val="008E5566"/>
    <w:rsid w:val="00A050DF"/>
    <w:rsid w:val="00AF156D"/>
    <w:rsid w:val="00B9631E"/>
    <w:rsid w:val="00D61821"/>
    <w:rsid w:val="00E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2018-10-02T03:33:00Z</dcterms:created>
  <dcterms:modified xsi:type="dcterms:W3CDTF">2023-01-26T06:27:00Z</dcterms:modified>
</cp:coreProperties>
</file>