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 ПРОВЕДЕНИИ МЕЖДУНАРОДНОГО КОНКУРСА АРХИВНЫХ,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br/>
        <w:t xml:space="preserve">ПОИСКОВО-ИССЛЕДОВАТЕЛЬСКИХ И ТВОРЧЕСКИХ РАБОТ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«ГЕРОИ ХАСАНА НА КАРТЕ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МНОГОНАЦИОНАЛЬНОЙ РОССИИ», посвященного Году единства народов России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08"/>
        <w:numPr>
          <w:ilvl w:val="0"/>
          <w:numId w:val="1"/>
        </w:numPr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Общие положения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6"/>
        <w:numPr>
          <w:ilvl w:val="1"/>
          <w:numId w:val="2"/>
        </w:numPr>
        <w:ind w:left="142" w:firstLine="567"/>
        <w:jc w:val="both"/>
        <w:spacing w:before="28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архивных, поисково-исследовательских и творческих работ, посвященный Хасанским событиям 1938 года,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проводится с 2024 года. Старт был дан на Всероссийской научно-практической конференции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«Хасан. Ключевая точка исторической памяти»,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посвященной 85-летию образования Приморского края и 85-й годовщине боев у озера Хасан. В течение нескольких лет краеведы, военные историки, сотрудники библиотек, музеев и архивов, преподаватели и учащиеся образовательных учреждений со всех уголков России,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стран СНГ, стран Азиатско-Тихоокеанского региона изучают и исследуют историческое и культурное наследие Хасанских событий 1938 года.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2025 году конкурс стал международным и расширил географию участников: Республика Беларусь,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Луганская Народная Республика,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Республика Саха Якутия, Республика Бурятия, Татарстан, Башкортостан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Саратовская область, Московская область, Москва, Волгоград, Севастополь, Санкт-Петербург.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Год, объявленный Президентом Российской Федерации В.В. Путиным Годом единства народов России, Международный конкурс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архивных, поисково-исследовательских и творческих работ «Герои Хасана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на карте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многонациональной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России»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посвящен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ружбе и взаимопониманию народов, проживающих на территории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субъектов Российской Федерации,</w:t>
        <w:br/>
        <w:t xml:space="preserve">а также стран СНГ, стран Азиатско-Тихоокеанского региона и других иностранных государств.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6"/>
        <w:numPr>
          <w:ilvl w:val="1"/>
          <w:numId w:val="2"/>
        </w:numPr>
        <w:ind w:left="142" w:firstLine="567"/>
        <w:jc w:val="both"/>
        <w:spacing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Настоящее Положение о проведении Международного конкурса архивных, поисково-исследовательских и творческих работ «Герои Хасана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на карте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многонациональной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России» (далее - Положение, конкурс) определяет порядок организации и проведения конкурса, критерии оценок конкурсных работ.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Учредители конкурса: Правительство Приморского края,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Следственный комитет Российской Федерации, Пограничное управление ФСБ России по Приморскому краю,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5-я гвардейская общевойсковая Краснознаменная ордена Жукова армия, Штаб Тихоокеанского флота Минобороны России,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Владивостокская Епархия Русской Православной церкви (Московский Патриархат).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Организаторы конкурса: министерство культуры и архивного дела Приморского края, министерство международных и внешнеэкономических связей Приморского края, министерство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внутренней политики Приморского края,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 образования Приморского края,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 профессионального образования Приморского края, министерство туризма Приморского края, инспекция по охране объектов культурного наследия Приморского края, агентство по делам молодежи Приморского края,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санского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муниципального округа (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далее – Организаторы).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Операторами конкурса выступают </w:t>
      </w:r>
      <w:r>
        <w:rPr>
          <w:rFonts w:ascii="Times New Roman" w:hAnsi="Times New Roman" w:eastAsia="Times New Roman" w:cs="Times New Roman"/>
          <w:color w:val="212121"/>
          <w:sz w:val="26"/>
          <w:szCs w:val="26"/>
        </w:rPr>
        <w:t xml:space="preserve">ГАУ «Приморский краевой центр народной культуры»,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АНО «Приморский культурно-исторический центр».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Информационные партнёры: департамент информационной политики Приморского края, ГТРК Владивосток, ОТВ-Прим,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en-US" w:bidi="en-US"/>
        </w:rPr>
        <w:t xml:space="preserve">официальный представитель Радио «Гордость» в Приморском крае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1.5.Сроки проведения конкурса: 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февраля 2026 года - 26 сентября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2026 года.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6"/>
        <w:numPr>
          <w:ilvl w:val="0"/>
          <w:numId w:val="1"/>
        </w:numPr>
        <w:jc w:val="center"/>
        <w:spacing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Цели и задачи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6"/>
        <w:ind w:firstLine="737"/>
        <w:spacing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2.1 Цель конкурса: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2.1.1. Создание, систематизация и популяризация материалов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об участниках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Хасанских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событий и их потомках, представителей разных народов и национальностей, проживающих на территории субъектов Российской Федерации,а также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стран Азиатско-Тихоокеанского региона и других иностранных государств, об их вкладе в культурное и историческое наследие нашей страны с целью исторического просвещения и сохранения исторической памяти.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 Задачи конкурса: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2.2.1.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 Активизация поисково-исследовательской и творческой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по изучению культурного и исторического наследия многонациональной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России и  родного края.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2.2.2.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Популяризация исторического просвещения, краеведения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и поисково-исследовательской деятельности как одного из средств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военно-патриотического и гражданского воспитания молодежи и граждан, проживающих на территории России, включая ЛНР, ДНР, Запорожскую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и Херсонскую области, стран СНГ, стран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Азиатско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- Тихоокеанского региона и других иностранных государств.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2.2.3. Восприятие истории страны через историю малой родины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 историю жизни отдельных людей.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2.2.4. Развитие и сохранение культурного и исторического наследия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многонациональной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России, памяти об участниках военных конфликтов, противодействие попыткам фальсификации истории.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2.2.5. Воспитание уважения к отечественной истории, культуре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духовно-нравственным традициям народ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ов многонациональной России.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2.2.6. Укрепление духовной связи между людьми разных поколений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разных национальностей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обеспечение преемственности поколений.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2.2.7. Формирование гражданина, имеющего активную жизненную позицию и ответственного за судьбу страны.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2.2.8. Выявление одарённых граждан и развитие их интеллектуальных способностей и творческого потенциала, формирование художественного вкуса, навыков проектной, поисково-исследовательской работы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 школьников, молодежи, старшего поколения.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Участники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3.1. Участники конкурса: молодежь и взрослые,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проявляющие интерес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br/>
        <w:t xml:space="preserve">к изучению историко-культурного наследия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многонациональной России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поисково-исследовательской деятельности.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3.2. Конкурс проводится в возрастных группах: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 возрастная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группа  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от 11 до 14 лет;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 возрастная группа- от 15 до 21 года;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возрастная  группа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- от 21 года до 35 лет;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возрастная  группа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от 35 лет  и выше.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 группа – разновозрастная (коллективная, семейная работа).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Победители и призеры конкурса определяются по каждой возрастной группе отдельно.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Интересы несовершеннолетних участников представляют их законные представители (родители или опекуны).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6"/>
        <w:numPr>
          <w:ilvl w:val="0"/>
          <w:numId w:val="1"/>
        </w:numPr>
        <w:jc w:val="center"/>
        <w:spacing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Руководство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6"/>
        <w:ind w:firstLine="709"/>
        <w:jc w:val="both"/>
        <w:spacing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4.1.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Общее руководство подготовкой и проведением конкурса осуществляет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Оргкомитет.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Оргкомитет конкурса: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определяет порядок проведения конкурса;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организует мероприятия по подготовке и проведению конкурса;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формирует программу проведения конкурса;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планирует и организует деятельность организационного комитета;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организует сбор и обмен информацией в области подготовки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проведения конкурса;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формирует состав конкурсной комиссии, экспертных групп, создаваемых для работы с конкурсными материалами;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проводит анализ и оценку творческих работ, определенных конкурсной комиссией финалистами в каждой из номинаций по возрастным группам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 занесением их в протокол заседания Организационного комитета;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определяет победителей и призеров конкурса среди финалистов конкурса;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56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награждает победителей и призеров конкурса.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Оргкомитет не комментирует принятые решения.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Отбор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победителей и призеров осуществляет конкурсная комиссия.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Конкурсная комиссия формируется из числа опытных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и квалифицированн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ых работников сферы культуры, в том числе, имеющих почетные звания, руководителей (представителей) государственных учреждений культуры и образования, должностных лиц органов исполнительной власти, представителей общественных организаций, творческих союзов.</w:t>
      </w:r>
      <w:r>
        <w:rPr>
          <w:rFonts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Все члены конкурсной комиссии при принятии решений обладают равными правами.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Конкурсная комиссия: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 осуществляет экспертную оценку конкурсных работ, оформленных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в соответствии с требованиями настоящего положения;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 определяет победителей и призеров конкурса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с критериями оценки;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 вносит предложения об учреждении специальных номинаций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и присуждения дополнительных призов.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Решения конкурсной комиссии направляются на рассмотрение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в Оргкомитет.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V. Номинации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 Конкурс проводится по трем тематическим номинациям: «Многонациональный Хасан»,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Мой земляк – Герой Хасана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»,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Хасанцы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защите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государственных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рубежей России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«Я знаю, я помню, я был: о событиях 1938 г.</w:t>
        <w:br/>
        <w:t xml:space="preserve">в деталях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 Номинация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«Многонациональный Хасан»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(работа с архивными материалами, в том числе семейными, 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хасанцах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представителях разных национальностей):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о дружбе, взаимопомощи и единстве народов, участниках Хасанских событий 1938 года,</w:t>
        <w:br/>
        <w:t xml:space="preserve">о влиянии и взаимопроникновении культур, об исторических и культурных связях между народами и своеобразии их отражения в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памятных местах, достопримечательностях пгт Хасан, а также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живописи, музыке, поэзии, театральных постановках и т.д;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о населенном пункте, который находится</w:t>
        <w:br/>
        <w:t xml:space="preserve">на стыке трех государственных границ России, КНДР и Китай, и его жителях.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5.3.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Номинация 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Мой земляк – Герой Хасана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(работа по 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зучению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личных историй участников боев у озера Хасан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местном краеведческом материале):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по изучению жизни, боевого пути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подвига земляков-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хасанцев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представителей разных народов и национальностей, а также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экскурси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и, маршруты об участниках боев у озера Хасан, чьи имена увековечены</w:t>
        <w:br/>
        <w:t xml:space="preserve">в названиях улиц, населенных пунктов, учреждений, парков, скверов,</w:t>
        <w:br/>
        <w:t xml:space="preserve">в памятных и мемориальных табличках, арт-объектах, памятных местах, в том числе памятниках историко-культурного наследия.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5.4.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Номинация 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Хасанцы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на защите государственных рубежей России»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(работа с архивными материалами, в том числе семейными, 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хасанцах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участниках обороны Бреста, Москвы, Севастополя, Сталинграда и других городов в период 1941 года):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по изучению жизни, боевого пути и подвига - участников боев у озера Хасан 1938 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а также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экскурсии, маршруты по изучению памятников и памятных мест, произведений живописи, литературы и искусства, посвященные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событиям 1938-1941 годов.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5.5. Номинация 4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Я знаю, я помню, я был: о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 событи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ях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 1938 г. в детал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ях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(работа с архивными, в том числе рассекреченными, а также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опубликованными в книгах и периодике материалами):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с описанием событий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1938 г., предметов быта военного времени, впечатлений, малоизвестных фактов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об участниках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Хасанских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событий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1938 г., Токийского процесса 1946-1948 гг.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через документы, письма, воспоминания, мемуары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легенды музейных предметов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5.6. Материалы по тематическим направлениям могут быть представлены как: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проектная работа, в том числе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социальный проект поисковых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и волонтерских отрядов,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научная статья, 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вторская экскурсия (включая виртуальную), методическая разработка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эссе, проза, поэзия;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сценарий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аудиоспектакля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или театральной постановки;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графический роман, живопись,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плакатная живопись, графика;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песня;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видеосюжеты, фоторепортажи, анимация, видеоигра;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настольная историческая игра.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VI. Требования к работам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6.1. Проектная работа.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Выполняется с использованием архивных материалов с обязательным указанием списка используемых источников. Объем текста не более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15 страниц (формат А4; кегль - 14; интервал - 1,5). Структура проекта, традиционная для научной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работы: актуальность, цель исследования, гипотеза,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задачи исследования, обзор источников и литературы, результаты собственного исследования, сопоставление полученных данных друг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 другом и с литературными источниками и формулирование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их анализа обобщений, обнаруженных в процессе исследования; выводы,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в которых дается тезисное изложение результатов работы (они должны соответствовать целям, задачам, гипотезе исследования, являться ответом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на вопросы, отраженные в обосновании актуальности), разрешается приложить презентацию (не более 15 слайдов).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6.2. Реализация социальных проектов поисковых и волонтерских отрядов по увековечению памяти героев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Хасанских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событий 1938 года - участников Великой Отечественной войны.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Требования к оформлению содержания: 1. Паспорт проекта.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2. Дорожная карта проекта. 3. Результаты реализации проекта, включая отзывы о нем. 4. Визуальные свидетельства его осуществления: презентация, фотоотчет, видеозапись.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6.3. Эссе, проза, поэзия.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Максимальный объем текста – 1-3 страницы, шрифт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Times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New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Roman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размер шрифта - 14, межстрочный интервал - 1,5.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6.4.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Авторские экскурсии, маршруты на основе архивных документов, музейных коллекций, документальных и литературных источников.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Требования к оф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ормлению содержания: 1. Технологическая карта экскурсии. 2. Карта-схема маршрута экскурсии. 3. Индивидуальный текст экскурсии 4. «Портфель экскурсовода». 5. Список использованных источников.  Допустимо приложить видеозапись фрагмента проведенной экскурсии.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6.5. Краеведческие видеофильмы, мультимедийные разработки, создание видеороликов.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Общие требования к работам: Объем текста не более 15 страниц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(А4; кегль - 14; интервал - 1,5). Работа должна быть напечатана на </w:t>
      </w:r>
      <w:hyperlink r:id="rId13" w:tooltip="http://www.pandia.ru/text/category/russkij_yazik/" w:history="1">
        <w:r>
          <w:rPr>
            <w:rFonts w:ascii="Times New Roman" w:hAnsi="Times New Roman" w:eastAsia="Times New Roman" w:cs="Times New Roman"/>
            <w:color w:val="000000" w:themeColor="text1"/>
            <w:sz w:val="26"/>
            <w:szCs w:val="26"/>
          </w:rPr>
          <w:t xml:space="preserve">русском языке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бумажном носителе, соответствовать содержанию объявленной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темы, отражать творческий подход к разработке исследуемой темы, точность, ясность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знание материала, его новизну, собственную позицию и собственные научные наблюдения, развернутые выводы. Обязательно использование архивных материалов с указанием списка использованных источников и литературы, презентация (не более 15 слайдов) в формате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Демонстрационное время показа работы не должно превышать 10 минут.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Оформление работы: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– титульный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лист с указанием следующей информации: наименование образовательного учреждения (полное), регион (субъект РФ), страна, населенный пункт, название конкурса, название работы, сведения об участнике: фамилия, имя, отчество обучающегося, класс, группа, специал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ьность, у педагога – должность.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Важно! </w:t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Каждая</w:t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 работа должна содержать видеопрезентацию представленного на конкурс материала.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VII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Критерии оценки конкурсных работ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боснование темы, новизна, актуальность работы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Историография, источники, экспериментальные данные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Содержание, глубина раскрытия темы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Логичность изложения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стиль, грамотность пред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ставления материала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Вклад автора в исследование, практическая значимость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Структура работы, соответствие названия содержанию, научно-справочный аппарат 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Оформление работы (титульный лист, библиография, аккуратность, грамотность, соответствие Положению)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Оригинальность темы исследования и формы подачи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Видео защиты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VIII. Сроки проведения конкурса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8.1. Конкурс проводится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26 февраля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 по 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сентября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709"/>
        <w:jc w:val="both"/>
        <w:spacing w:line="240" w:lineRule="auto"/>
        <w:shd w:val="clear" w:color="auto" w:fill="ffffff" w:themeFill="background1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8.2. Конкурс проводится в заочном формате 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V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этапов: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ffffff" w:themeColor="background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ffffff" w:themeColor="background1"/>
          <w:sz w:val="26"/>
          <w:szCs w:val="26"/>
        </w:rPr>
        <w:t xml:space="preserve">I этап: 10.08.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</w:r>
    </w:p>
    <w:p>
      <w:pPr>
        <w:pStyle w:val="907"/>
        <w:ind w:firstLine="709"/>
        <w:jc w:val="both"/>
        <w:spacing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 этап: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.05.202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прием заявок и работ в онлайн-формате на Яндекс диске на электронную почту: metod@primhistory.ru;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II этап: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.05.202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30.06.202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 работа конкурсной комиссии;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III этап: 01.07.202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03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 подведение итогов конкурса;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IV этап: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04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14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-– информирование о победителях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и призерах конкурса;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V этап: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–26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.09.202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–награждение участников и победителей конкурса.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Награждение победителей пройдет в торжественной обстановке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в г. Владивостоке с посещением сопки Заозерной 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Хасанском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муниципальном округе и других памятных мест в Приморском крае.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8.3. Конкурсные работы, оформленные по всем требованиям,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в электронном варианте необходимо отправить по электронному адресу: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metod@primhistory.ru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. В теме письма указать «Конкурс», номинацию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наименование организации. Заявки вместе с работой принимаются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26.02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26.05</w:t>
      </w:r>
      <w:bookmarkStart w:id="0" w:name="_GoBack"/>
      <w:r>
        <w:rPr>
          <w:rFonts w:ascii="Times New Roman" w:hAnsi="Times New Roman" w:eastAsia="Times New Roman" w:cs="Times New Roman"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sz w:val="26"/>
          <w:szCs w:val="26"/>
        </w:rPr>
        <w:t xml:space="preserve">.2026 включительно.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8.4. К заявке (Приложение 1) приложить согласие на обработку персональных данных (Приложения 2) (у несовершеннолетних детей заявку и согласие подписывают родители).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8.5. Регистрация осуществляется до 26 мая 2026 г. через систему «Электронный кабинет» по ссылке: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https://forms.yandex.ru/u/699fa61ceb614618f7b7dff8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или посредством направления заявки на участие на электронную почту: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hyperlink r:id="rId14" w:tooltip="mailto:metod@primhistory.ru" w:history="1">
        <w:r>
          <w:rPr>
            <w:rStyle w:val="896"/>
            <w:rFonts w:ascii="Times New Roman" w:hAnsi="Times New Roman" w:eastAsia="Times New Roman" w:cs="Times New Roman"/>
            <w:color w:val="000000" w:themeColor="text1"/>
            <w:sz w:val="26"/>
            <w:szCs w:val="26"/>
          </w:rPr>
          <w:t xml:space="preserve">metod@primhistory.ru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IX. Итоги конкурса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 Оргкомитет определяет победителей и призеров.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9.2. Работы оцениваются конкурсной комиссией в соответствии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  <w:t xml:space="preserve">с критериями, указанными в п.7 настоящего Положения, по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десятибальной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шкале. Победители определяются по наи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большей сумме полученных баллов (не менее 70 баллов).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9.3. Оргкомитет оставляет за собой право присуждения специального приза. В рамках конкурса могут быть учреждены дополнительные призы, предоставленные партнерами.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 решению Оргкомитета могут быть определены дополнительные призовые номинации.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ind w:firstLine="709"/>
        <w:jc w:val="both"/>
        <w:spacing w:line="240" w:lineRule="auto"/>
        <w:rPr>
          <w:rFonts w:ascii="Times New Roman" w:hAnsi="Times New Roman" w:cs="Times New Roman"/>
          <w:color w:val="291e1e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9.4. По итогам конкурса проводится награждение победителей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  <w:t xml:space="preserve">и призеров грамотами, призами, а остальных - сертификатами участников конкурса.</w:t>
      </w: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91e1e"/>
          <w:sz w:val="26"/>
          <w:szCs w:val="26"/>
        </w:rPr>
      </w:r>
      <w:r>
        <w:rPr>
          <w:rFonts w:ascii="Times New Roman" w:hAnsi="Times New Roman" w:cs="Times New Roman"/>
          <w:color w:val="291e1e"/>
          <w:sz w:val="26"/>
          <w:szCs w:val="26"/>
        </w:rPr>
      </w:r>
    </w:p>
    <w:p>
      <w:pPr>
        <w:pStyle w:val="907"/>
        <w:ind w:firstLine="709"/>
        <w:jc w:val="both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9.5.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Педагогам и организаторам, привлекшим к участию в конкурсе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от 7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участников (например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1 рабо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та – 1 участник) вручается благодарственное письмо.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907"/>
        <w:ind w:firstLine="709"/>
        <w:jc w:val="both"/>
        <w:spacing w:line="240" w:lineRule="auto"/>
        <w:rPr>
          <w:rFonts w:ascii="Times New Roman" w:hAnsi="Times New Roman" w:cs="Times New Roman"/>
          <w:b/>
          <w:color w:val="291e1e"/>
          <w:sz w:val="26"/>
          <w:szCs w:val="26"/>
        </w:rPr>
      </w:pP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9.6. </w:t>
      </w: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Все дипломы, </w:t>
      </w: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сертификаты и благодарственные письма высылаются в электронном виде на электронный адрес, с которого была принята заявка</w:t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color w:val="291e1e"/>
          <w:sz w:val="26"/>
          <w:szCs w:val="26"/>
        </w:rPr>
      </w:r>
      <w:r>
        <w:rPr>
          <w:rFonts w:ascii="Times New Roman" w:hAnsi="Times New Roman" w:cs="Times New Roman"/>
          <w:b/>
          <w:color w:val="291e1e"/>
          <w:sz w:val="26"/>
          <w:szCs w:val="26"/>
        </w:rPr>
      </w:r>
    </w:p>
    <w:p>
      <w:pPr>
        <w:pStyle w:val="907"/>
        <w:ind w:firstLine="709"/>
        <w:jc w:val="both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.7.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На основании конкурсных работ будет составлен справочник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  <w:t xml:space="preserve">и карта топонимических названий с именами участников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Хасанских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событий. Справочник и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карта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, а также лучшие работы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будут размещены на сайте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Примкраевед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Cs/>
          <w:sz w:val="26"/>
          <w:szCs w:val="26"/>
          <w:lang w:val="en-US"/>
        </w:rPr>
        <w:t xml:space="preserve">ru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907"/>
        <w:ind w:firstLine="709"/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X. Финансирование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10.1. Средства на проведение конкурса формируются из краевой субсидии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 ГАУ «Приморский краевой центр народной культуры»,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а также из внебюджетных источников.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</w:p>
    <w:p>
      <w:pPr>
        <w:pStyle w:val="907"/>
        <w:ind w:firstLine="709"/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XI. Дополнительная информация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11.1. Авторские права на представленные работы сохраняются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за участниками конкурса.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11.2. Организатор конкурса оставляет за собой право использовать конкурсные работы, в том числе прис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ланные в конкурсных заявках фотографии, видеоролики и иные документы, в целях исторического просвещения, для создания информационных и презентационных материалов, а также размещения на информационном портале: primkraeved.ru (при соблюдении авторских прав).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Оргкомитет оставляет за собой право оперативно вносить дополнения и изменения в текст настоящего Положения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shd w:val="clear" w:color="auto" w:fill="ffffff"/>
        </w:rPr>
        <w:t xml:space="preserve">_______________________________________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  <w:t xml:space="preserve">риложение 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afafa"/>
        </w:rPr>
        <w:t xml:space="preserve">ЗАЯВКА</w:t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участие в Международном конкурсе архивных,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 поисково-исследовательских и творческих работ «Герои Хасана на карте многонациональной России»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посвященного Году единства народов России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1.Наименование территории 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2.Ф.И.О.(отчество – при наличии) индивидуального исполнителя 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 Номер телефона 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Полное наименование коллектива, количество участников, из них мужского/женского пола____________________________________________     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Номинация  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 Возрастная группа 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Конкурсный репертуар, хронометраж___________________________ 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 Ссылка на видеоматериал должна быть размещена в сервисе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Яндекс.Диск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срок хранения видеозаписи 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Яндекс.Диске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для организаторов Конкурса должен быть неограничен. Хронометраж должен соответствовать программным требованиям.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_____________________________________________________________________________________________________________________________________.___________________________________________________________________.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Ответственное    контактное   лицо 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_________________/______________________________/________________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должность)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(Ф.И.О. (отчество – при наличии)          (подпись)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Приложение № 2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907"/>
        <w:jc w:val="center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Согласие на обработку, передачу и распространение персональных данных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Я,_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 (ФИО)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Согласен на обработку, передачу и распространение моих персональных данных (включая их получение от меня и/или от моего законного представителя) организатору Международного конкурса архивных,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поисково-исследовательских и творческих работ «Герои Хасана на карте многонациональной России», посвященного Году единства народов России, </w:t>
        <w:br/>
        <w:t xml:space="preserve">с учетом требований Федерального закона от 27 июля 2006 года № 152-ФЗ «О персональных данных» в следующем объеме: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jc w:val="both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ind w:firstLine="480"/>
        <w:jc w:val="both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Перечень обрабатываемых общих персональных данных (Ф.И.О. (по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следнее - при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контактные номера телефонов, адрес электронной почты)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ind w:firstLine="480"/>
        <w:jc w:val="both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pacing w:val="-18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ind w:firstLine="480"/>
        <w:jc w:val="both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 (Ф.И.О. (последнее - при наличии), подпись)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ind w:firstLine="480"/>
        <w:jc w:val="both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jc w:val="both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1"/>
        <w:ind w:firstLine="480"/>
        <w:jc w:val="both"/>
        <w:spacing w:before="280" w:after="2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(дата)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9"/>
        <w:jc w:val="right"/>
        <w:spacing w:before="280" w:beforeAutospacing="0" w:after="240" w:afterAutospacing="0" w:line="240" w:lineRule="auto"/>
        <w:rPr>
          <w:rFonts w:ascii="Times New Roman" w:hAnsi="Times New Roman" w:cs="Times New Roman"/>
          <w:color w:val="444444"/>
          <w:sz w:val="26"/>
          <w:szCs w:val="26"/>
        </w:rPr>
      </w:pPr>
      <w:r>
        <w:rPr>
          <w:rFonts w:ascii="Times New Roman" w:hAnsi="Times New Roman" w:eastAsia="Times New Roman" w:cs="Times New Roman"/>
          <w:color w:val="444444"/>
          <w:sz w:val="26"/>
          <w:szCs w:val="26"/>
        </w:rPr>
        <w:br/>
      </w:r>
      <w:r>
        <w:rPr>
          <w:rFonts w:ascii="Times New Roman" w:hAnsi="Times New Roman" w:cs="Times New Roman"/>
          <w:color w:val="444444"/>
          <w:sz w:val="26"/>
          <w:szCs w:val="26"/>
        </w:rPr>
      </w:r>
      <w:r>
        <w:rPr>
          <w:rFonts w:ascii="Times New Roman" w:hAnsi="Times New Roman" w:cs="Times New Roman"/>
          <w:color w:val="444444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*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Для несовершеннолетних согласие заполняет родитель (законный представитель)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9"/>
        <w:jc w:val="right"/>
        <w:spacing w:before="280" w:beforeAutospacing="0" w:after="24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9"/>
        <w:jc w:val="right"/>
        <w:spacing w:before="280" w:beforeAutospacing="0" w:after="24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9"/>
        <w:jc w:val="right"/>
        <w:spacing w:before="280" w:beforeAutospacing="0" w:after="24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909"/>
        <w:jc w:val="right"/>
        <w:spacing w:before="280" w:beforeAutospacing="0" w:after="24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Приложение № 3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0"/>
        <w:jc w:val="center"/>
        <w:spacing w:before="280" w:beforeAutospacing="0" w:after="12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Индивидуальный оценочный лист работ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jc w:val="center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Международного конкурса архивных, поисково-исследовательских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творческих работ «Герои Хасана на карте многонациональной России»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  <w:br/>
        <w:t xml:space="preserve"> посвященного Году единства народов России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425" w:type="dxa"/>
        <w:tblInd w:w="149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7770"/>
        <w:gridCol w:w="1655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24" w:type="dxa"/>
            <w:textDirection w:val="lrTb"/>
            <w:noWrap w:val="false"/>
          </w:tcPr>
          <w:p>
            <w:pPr>
              <w:pStyle w:val="911"/>
              <w:jc w:val="center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ФИО заявителя, название конкурсной работы и формат представления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jc w:val="center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Критерии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pStyle w:val="911"/>
              <w:jc w:val="center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0 до 10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291e1e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боснование темы, новизна, актуальность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Историография, источники, экспериментальные данные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Содержание, глубина раскрытия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Логичность изложения, стиль, грамотность представления материала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spacing w:before="280" w:beforeAutospacing="0" w:after="280" w:afterAutospacing="0" w:line="240" w:lineRule="auto"/>
              <w:widowControl w:val="off"/>
              <w:tabs>
                <w:tab w:val="left" w:pos="578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Вклад автора в исследование, практическая значимость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Структура работы, соответствие названия содержанию, научно-справочный аппарат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578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Оформление работы (титульный лист, библиография, аккуратность, грамотность, соответствие Положению)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spacing w:before="280" w:beforeAutospacing="0" w:after="280" w:afterAutospacing="0" w:line="240" w:lineRule="auto"/>
              <w:widowControl w:val="off"/>
              <w:tabs>
                <w:tab w:val="left" w:pos="578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Оригинальность темы исследования и формы подачи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Видео защиты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11"/>
              <w:spacing w:before="280" w:beforeAutospacing="0" w:after="280" w:afterAutospacing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48" w:right="850" w:bottom="1134" w:left="1701" w:header="31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fldSimple w:instr="PAGE \* MERGEFORMAT">
      <w:r>
        <w:t xml:space="preserve">1</w:t>
      </w:r>
    </w:fldSimple>
    <w:r/>
    <w:r/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731"/>
    <w:link w:val="723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08">
    <w:name w:val="Heading 6 Char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09">
    <w:name w:val="Heading 7 Char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8 Char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11">
    <w:name w:val="Heading 9 Char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731"/>
    <w:link w:val="899"/>
    <w:uiPriority w:val="10"/>
    <w:rPr>
      <w:sz w:val="48"/>
      <w:szCs w:val="48"/>
    </w:rPr>
  </w:style>
  <w:style w:type="character" w:styleId="713">
    <w:name w:val="Subtitle Char"/>
    <w:basedOn w:val="731"/>
    <w:link w:val="744"/>
    <w:uiPriority w:val="11"/>
    <w:rPr>
      <w:sz w:val="24"/>
      <w:szCs w:val="24"/>
    </w:rPr>
  </w:style>
  <w:style w:type="character" w:styleId="714">
    <w:name w:val="Quote Char"/>
    <w:link w:val="746"/>
    <w:uiPriority w:val="29"/>
    <w:rPr>
      <w:i/>
    </w:rPr>
  </w:style>
  <w:style w:type="character" w:styleId="715">
    <w:name w:val="Intense Quote Char"/>
    <w:link w:val="748"/>
    <w:uiPriority w:val="30"/>
    <w:rPr>
      <w:i/>
    </w:rPr>
  </w:style>
  <w:style w:type="character" w:styleId="716">
    <w:name w:val="Header Char"/>
    <w:basedOn w:val="731"/>
    <w:link w:val="916"/>
    <w:uiPriority w:val="99"/>
  </w:style>
  <w:style w:type="character" w:styleId="717">
    <w:name w:val="Footer Char"/>
    <w:basedOn w:val="731"/>
    <w:link w:val="751"/>
    <w:uiPriority w:val="99"/>
  </w:style>
  <w:style w:type="character" w:styleId="718">
    <w:name w:val="Caption Char"/>
    <w:basedOn w:val="731"/>
    <w:link w:val="902"/>
    <w:uiPriority w:val="35"/>
    <w:rPr>
      <w:b/>
      <w:bCs/>
      <w:color w:val="4f81bd" w:themeColor="accent1"/>
      <w:sz w:val="18"/>
      <w:szCs w:val="18"/>
    </w:rPr>
  </w:style>
  <w:style w:type="character" w:styleId="719">
    <w:name w:val="Footnote Text Char"/>
    <w:link w:val="879"/>
    <w:uiPriority w:val="99"/>
    <w:rPr>
      <w:sz w:val="18"/>
    </w:rPr>
  </w:style>
  <w:style w:type="character" w:styleId="720">
    <w:name w:val="Endnote Text Char"/>
    <w:link w:val="882"/>
    <w:uiPriority w:val="99"/>
    <w:rPr>
      <w:sz w:val="20"/>
    </w:rPr>
  </w:style>
  <w:style w:type="paragraph" w:styleId="721" w:default="1">
    <w:name w:val="Normal"/>
    <w:qFormat/>
    <w:pPr>
      <w:spacing w:after="200" w:line="276" w:lineRule="auto"/>
    </w:pPr>
  </w:style>
  <w:style w:type="paragraph" w:styleId="722">
    <w:name w:val="Heading 1"/>
    <w:basedOn w:val="721"/>
    <w:next w:val="721"/>
    <w:link w:val="73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3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3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Заголовок Знак"/>
    <w:basedOn w:val="731"/>
    <w:link w:val="899"/>
    <w:uiPriority w:val="10"/>
    <w:rPr>
      <w:sz w:val="48"/>
      <w:szCs w:val="48"/>
    </w:rPr>
  </w:style>
  <w:style w:type="paragraph" w:styleId="744">
    <w:name w:val="Subtitle"/>
    <w:basedOn w:val="721"/>
    <w:next w:val="721"/>
    <w:link w:val="745"/>
    <w:uiPriority w:val="11"/>
    <w:qFormat/>
    <w:pPr>
      <w:spacing w:before="200"/>
    </w:pPr>
    <w:rPr>
      <w:sz w:val="24"/>
      <w:szCs w:val="24"/>
    </w:rPr>
  </w:style>
  <w:style w:type="character" w:styleId="745" w:customStyle="1">
    <w:name w:val="Подзаголовок Знак"/>
    <w:basedOn w:val="731"/>
    <w:link w:val="744"/>
    <w:uiPriority w:val="11"/>
    <w:rPr>
      <w:sz w:val="24"/>
      <w:szCs w:val="24"/>
    </w:rPr>
  </w:style>
  <w:style w:type="paragraph" w:styleId="746">
    <w:name w:val="Quote"/>
    <w:basedOn w:val="721"/>
    <w:next w:val="721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1"/>
    <w:next w:val="721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Верхний колонтитул Знак"/>
    <w:basedOn w:val="731"/>
    <w:link w:val="916"/>
    <w:uiPriority w:val="99"/>
  </w:style>
  <w:style w:type="paragraph" w:styleId="751">
    <w:name w:val="Footer"/>
    <w:basedOn w:val="721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Нижний колонтитул Знак"/>
    <w:basedOn w:val="731"/>
    <w:link w:val="751"/>
    <w:uiPriority w:val="99"/>
  </w:style>
  <w:style w:type="character" w:styleId="753" w:customStyle="1">
    <w:name w:val="Название объекта Знак"/>
    <w:basedOn w:val="731"/>
    <w:link w:val="902"/>
    <w:uiPriority w:val="35"/>
    <w:rPr>
      <w:b/>
      <w:bCs/>
      <w:color w:val="4f81bd" w:themeColor="accent1"/>
      <w:sz w:val="18"/>
      <w:szCs w:val="18"/>
    </w:rPr>
  </w:style>
  <w:style w:type="table" w:styleId="754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5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basedOn w:val="73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3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basedOn w:val="73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basedOn w:val="73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basedOn w:val="73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basedOn w:val="73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basedOn w:val="73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basedOn w:val="73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3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basedOn w:val="73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basedOn w:val="73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basedOn w:val="73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basedOn w:val="73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basedOn w:val="73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basedOn w:val="73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basedOn w:val="73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basedOn w:val="73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9">
    <w:name w:val="footnote text"/>
    <w:basedOn w:val="721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31"/>
    <w:uiPriority w:val="99"/>
    <w:unhideWhenUsed/>
    <w:rPr>
      <w:vertAlign w:val="superscript"/>
    </w:rPr>
  </w:style>
  <w:style w:type="paragraph" w:styleId="882">
    <w:name w:val="endnote text"/>
    <w:basedOn w:val="721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1"/>
    <w:uiPriority w:val="99"/>
    <w:semiHidden/>
    <w:unhideWhenUsed/>
    <w:rPr>
      <w:vertAlign w:val="superscript"/>
    </w:rPr>
  </w:style>
  <w:style w:type="paragraph" w:styleId="885">
    <w:name w:val="toc 1"/>
    <w:basedOn w:val="721"/>
    <w:next w:val="721"/>
    <w:uiPriority w:val="39"/>
    <w:unhideWhenUsed/>
    <w:pPr>
      <w:spacing w:after="57"/>
    </w:pPr>
  </w:style>
  <w:style w:type="paragraph" w:styleId="886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87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88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89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0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1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893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1"/>
    <w:next w:val="721"/>
    <w:uiPriority w:val="99"/>
    <w:unhideWhenUsed/>
    <w:pPr>
      <w:spacing w:after="0"/>
    </w:pPr>
  </w:style>
  <w:style w:type="character" w:styleId="896" w:customStyle="1">
    <w:name w:val="Гиперссылка1"/>
    <w:basedOn w:val="731"/>
    <w:uiPriority w:val="99"/>
    <w:semiHidden/>
    <w:unhideWhenUsed/>
    <w:qFormat/>
    <w:rPr>
      <w:color w:val="0000ff"/>
      <w:u w:val="single"/>
    </w:rPr>
  </w:style>
  <w:style w:type="character" w:styleId="897" w:customStyle="1">
    <w:name w:val="Текст выноски Знак"/>
    <w:basedOn w:val="731"/>
    <w:link w:val="917"/>
    <w:uiPriority w:val="99"/>
    <w:semiHidden/>
    <w:qFormat/>
    <w:rPr>
      <w:rFonts w:ascii="Segoe UI" w:hAnsi="Segoe UI" w:cs="Segoe UI"/>
      <w:sz w:val="18"/>
      <w:szCs w:val="18"/>
    </w:rPr>
  </w:style>
  <w:style w:type="character" w:styleId="898">
    <w:name w:val="Hyperlink"/>
    <w:rPr>
      <w:color w:val="000080"/>
      <w:u w:val="single"/>
    </w:rPr>
  </w:style>
  <w:style w:type="paragraph" w:styleId="899">
    <w:name w:val="Title"/>
    <w:basedOn w:val="721"/>
    <w:next w:val="900"/>
    <w:link w:val="74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00">
    <w:name w:val="Body Text"/>
    <w:basedOn w:val="721"/>
    <w:pPr>
      <w:spacing w:after="140"/>
    </w:pPr>
  </w:style>
  <w:style w:type="paragraph" w:styleId="901">
    <w:name w:val="List"/>
    <w:basedOn w:val="900"/>
    <w:rPr>
      <w:rFonts w:ascii="PT Astra Serif" w:hAnsi="PT Astra Serif" w:cs="Noto Sans Devanagari"/>
    </w:rPr>
  </w:style>
  <w:style w:type="paragraph" w:styleId="902">
    <w:name w:val="Caption"/>
    <w:basedOn w:val="721"/>
    <w:link w:val="753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3">
    <w:name w:val="index heading"/>
    <w:basedOn w:val="721"/>
    <w:qFormat/>
    <w:pPr>
      <w:suppressLineNumbers/>
    </w:pPr>
    <w:rPr>
      <w:rFonts w:ascii="PT Astra Serif" w:hAnsi="PT Astra Serif" w:cs="Noto Sans Devanagari"/>
    </w:rPr>
  </w:style>
  <w:style w:type="paragraph" w:styleId="904" w:customStyle="1">
    <w:name w:val="Заголовок1"/>
    <w:basedOn w:val="721"/>
    <w:next w:val="90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05" w:customStyle="1">
    <w:name w:val="Название объекта1"/>
    <w:basedOn w:val="72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6">
    <w:name w:val="Normal (Web)"/>
    <w:basedOn w:val="721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7">
    <w:name w:val="No Spacing"/>
    <w:qFormat/>
    <w:rPr>
      <w:rFonts w:eastAsia="Times New Roman" w:cs="Times New Roman"/>
    </w:rPr>
  </w:style>
  <w:style w:type="paragraph" w:styleId="908">
    <w:name w:val="List Paragraph"/>
    <w:basedOn w:val="721"/>
    <w:uiPriority w:val="34"/>
    <w:qFormat/>
    <w:pPr>
      <w:contextualSpacing/>
      <w:ind w:left="720"/>
    </w:pPr>
  </w:style>
  <w:style w:type="paragraph" w:styleId="909" w:customStyle="1">
    <w:name w:val="Заголовок 31"/>
    <w:basedOn w:val="721"/>
    <w:qFormat/>
    <w:pPr>
      <w:spacing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10" w:customStyle="1">
    <w:name w:val="Заголовок 41"/>
    <w:basedOn w:val="721"/>
    <w:qFormat/>
    <w:pPr>
      <w:spacing w:beforeAutospacing="1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911" w:customStyle="1">
    <w:name w:val="formattext"/>
    <w:basedOn w:val="72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12" w:customStyle="1">
    <w:name w:val="Содержимое таблицы"/>
    <w:basedOn w:val="721"/>
    <w:qFormat/>
    <w:pPr>
      <w:widowControl w:val="off"/>
      <w:suppressLineNumbers/>
    </w:pPr>
  </w:style>
  <w:style w:type="paragraph" w:styleId="913" w:customStyle="1">
    <w:name w:val="Заголовок таблицы"/>
    <w:basedOn w:val="912"/>
    <w:qFormat/>
    <w:pPr>
      <w:jc w:val="center"/>
    </w:pPr>
    <w:rPr>
      <w:b/>
      <w:bCs/>
    </w:rPr>
  </w:style>
  <w:style w:type="paragraph" w:styleId="914" w:customStyle="1">
    <w:name w:val="Верхний и нижний колонтитулы"/>
    <w:basedOn w:val="721"/>
    <w:qFormat/>
    <w:pPr>
      <w:tabs>
        <w:tab w:val="center" w:pos="4677" w:leader="none"/>
        <w:tab w:val="right" w:pos="9355" w:leader="none"/>
      </w:tabs>
      <w:suppressLineNumbers/>
    </w:pPr>
  </w:style>
  <w:style w:type="paragraph" w:styleId="915" w:customStyle="1">
    <w:name w:val="Колонтитул"/>
    <w:basedOn w:val="721"/>
    <w:qFormat/>
  </w:style>
  <w:style w:type="paragraph" w:styleId="916">
    <w:name w:val="Header"/>
    <w:basedOn w:val="914"/>
    <w:link w:val="750"/>
  </w:style>
  <w:style w:type="paragraph" w:styleId="917">
    <w:name w:val="Balloon Text"/>
    <w:basedOn w:val="721"/>
    <w:link w:val="89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18">
    <w:name w:val="Table Grid"/>
    <w:basedOn w:val="73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pandia.ru/text/category/russkij_yazik/" TargetMode="External"/><Relationship Id="rId14" Type="http://schemas.openxmlformats.org/officeDocument/2006/relationships/hyperlink" Target="mailto:metod@primhistor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0A71-072F-4C66-8A62-717A5320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Krokoz™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dc:language>ru-RU</dc:language>
  <cp:lastModifiedBy>rykunova_nv</cp:lastModifiedBy>
  <cp:revision>52</cp:revision>
  <dcterms:created xsi:type="dcterms:W3CDTF">2025-03-12T22:48:00Z</dcterms:created>
  <dcterms:modified xsi:type="dcterms:W3CDTF">2026-03-23T02:13:15Z</dcterms:modified>
</cp:coreProperties>
</file>